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40" w:lineRule="auto"/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(Redactar el objetivo que se pretende alcanzar y el alcance del procedimiento).</w:t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Personal necesario para la operación y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(Se describe el personal para la operación y control del procedimiento, las responsabilidades y autoridades que este posee, en el apartado Rol se escribe el nombre del área ejemplo: Dirección de Tecnologías de Información, Dirección de Servicios Escolares; en el apartado Responsabilidad y Autoridad se Describe todas las actividades y responsabilidades que se realizarán en el área) </w:t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2"/>
        <w:gridCol w:w="5027"/>
        <w:tblGridChange w:id="0">
          <w:tblGrid>
            <w:gridCol w:w="4182"/>
            <w:gridCol w:w="502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Rol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ind w:left="9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Responsabilidad y Autoridad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Comité de Innovación y Gestión de Calidad </w:t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Aprobar la integración de procesos al Sistema de Gestión de Calidad para la mejora de la calidad educativa.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Aprobar la integración de miembros del Comité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Revisar la eficacia del Sistema de Gestión de 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Revisar la Gestión de Riesgos de los Procesos que integran e Sistema de Gestión de Calidad.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Documentos de regulación externa e in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terna.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Toda la Documentación legal y/o reglamentaria para el desarrollo del procedimiento. (Leyes, Reglamentos, Manuales, Lineamientos, Criterios, Normas, Estatutos ,etc ). 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Ejemplo: </w:t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Ley Orgánica de la UNICACH.- Vigente.</w:t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Procedimiento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(Conjunto de acciones para llevar a cabo un proceso,  se compone de actividades mutuamente relacionadas o que interactúan, mismas que transforman elementos de entrada en resultados).</w:t>
      </w:r>
    </w:p>
    <w:p w:rsidR="00000000" w:rsidDel="00000000" w:rsidP="00000000" w:rsidRDefault="00000000" w:rsidRPr="00000000" w14:paraId="00000030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Explicar  a detalle: quién, cómo, dónde, cuándo, qué. </w:t>
      </w:r>
    </w:p>
    <w:p w:rsidR="00000000" w:rsidDel="00000000" w:rsidP="00000000" w:rsidRDefault="00000000" w:rsidRPr="00000000" w14:paraId="00000031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En la descripción del procedimiento los verbos deberán ser escritos en infinitivo.</w:t>
      </w:r>
    </w:p>
    <w:p w:rsidR="00000000" w:rsidDel="00000000" w:rsidP="00000000" w:rsidRDefault="00000000" w:rsidRPr="00000000" w14:paraId="00000032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Redacciones claras, en orden cronológico, evitando las abreviaturas y tecnicismos, en caso contrario incluirlos en el glosario, donde inicia y hasta cuando concluye el proceso (no necesariamente finaliza en el área que lo origina). </w:t>
      </w:r>
    </w:p>
    <w:p w:rsidR="00000000" w:rsidDel="00000000" w:rsidP="00000000" w:rsidRDefault="00000000" w:rsidRPr="00000000" w14:paraId="00000033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(El responsable de proceso realiza las actualizaciones y adecuaciones pertinentes, deberá anotar de forma obligatoria los cambios en indicadores y formatos, si se realizaron o no, y el número de revisión emitida.)</w:t>
      </w:r>
    </w:p>
    <w:p w:rsidR="00000000" w:rsidDel="00000000" w:rsidP="00000000" w:rsidRDefault="00000000" w:rsidRPr="00000000" w14:paraId="00000039">
      <w:pPr>
        <w:tabs>
          <w:tab w:val="left" w:leader="none" w:pos="426"/>
        </w:tabs>
        <w:spacing w:after="0" w:line="240" w:lineRule="auto"/>
        <w:ind w:left="36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4395"/>
        <w:gridCol w:w="2268"/>
        <w:gridCol w:w="1669"/>
        <w:tblGridChange w:id="0">
          <w:tblGrid>
            <w:gridCol w:w="1134"/>
            <w:gridCol w:w="4395"/>
            <w:gridCol w:w="2268"/>
            <w:gridCol w:w="166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Revisión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2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Descripción de los cambios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13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Actualizó 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17" w:right="-15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emisión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tabs>
                <w:tab w:val="left" w:leader="none" w:pos="567"/>
              </w:tabs>
              <w:spacing w:after="0" w:line="240" w:lineRule="auto"/>
              <w:ind w:left="-141" w:right="-145" w:firstLine="0"/>
              <w:jc w:val="center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Norma ISO </w:t>
            </w:r>
          </w:p>
          <w:p w:rsidR="00000000" w:rsidDel="00000000" w:rsidP="00000000" w:rsidRDefault="00000000" w:rsidRPr="00000000" w14:paraId="0000003F">
            <w:pPr>
              <w:widowControl w:val="1"/>
              <w:tabs>
                <w:tab w:val="left" w:leader="none" w:pos="567"/>
              </w:tabs>
              <w:spacing w:after="0" w:line="240" w:lineRule="auto"/>
              <w:ind w:left="-141" w:right="-145" w:firstLine="0"/>
              <w:jc w:val="center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9001:2008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firstLine="26"/>
              <w:jc w:val="both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Procedimiento Nuevo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2603"/>
              </w:tabs>
              <w:spacing w:after="0" w:line="240" w:lineRule="auto"/>
              <w:ind w:left="-113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Quien realizó los cambios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603"/>
              </w:tabs>
              <w:spacing w:after="0" w:line="240" w:lineRule="auto"/>
              <w:ind w:left="-117" w:right="-152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34"/>
              <w:jc w:val="both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Cambios sobre la transición a la Norma Internacional ISO 9001:2015.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Ing. Pedro Martinez Cruz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17 de agosto de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Control de salidas no conformes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(Identificación y control para prevenir su uso no intencionado, se toman acciones mediante autorización y se determinan las concesiones pertinentes). Ejemplo: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26"/>
        </w:tabs>
        <w:spacing w:after="0" w:line="24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La Jefa del Departamento de Gestión de Calidad, deberá identificar y controlar las salidas que no sean conformes, para prevenir su uso o entrega no intencionada, informando a la Dirección de Aseguramiento de Calidad para la toma de decisiones correspondiente. </w:t>
      </w:r>
    </w:p>
    <w:p w:rsidR="00000000" w:rsidDel="00000000" w:rsidP="00000000" w:rsidRDefault="00000000" w:rsidRPr="00000000" w14:paraId="00000050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La Dirección de Aseguramiento para la Calidad  tomará las acciones adecuadas (correcciones), basándose en la naturaleza de la no conformidad y en su efecto sobre la conformidad del producto y servicios. Aplicable también en lo detectado después de la entrega y/o provisión de los productos o servicios.</w:t>
      </w:r>
    </w:p>
    <w:p w:rsidR="00000000" w:rsidDel="00000000" w:rsidP="00000000" w:rsidRDefault="00000000" w:rsidRPr="00000000" w14:paraId="00000052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tabs>
          <w:tab w:val="left" w:leader="none" w:pos="426"/>
        </w:tabs>
        <w:spacing w:after="0" w:line="240" w:lineRule="auto"/>
        <w:ind w:left="360" w:hanging="36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Revisión y aprobación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26"/>
        </w:tabs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9.0" w:type="dxa"/>
        <w:jc w:val="left"/>
        <w:tblInd w:w="-2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7"/>
        <w:gridCol w:w="4877"/>
        <w:gridCol w:w="268"/>
        <w:gridCol w:w="4217.000000000001"/>
        <w:tblGridChange w:id="0">
          <w:tblGrid>
            <w:gridCol w:w="227"/>
            <w:gridCol w:w="4877"/>
            <w:gridCol w:w="268"/>
            <w:gridCol w:w="4217.000000000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Revisión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Aprobación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1"/>
              <w:widowControl w:val="1"/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(Nombre)</w:t>
            </w:r>
          </w:p>
          <w:p w:rsidR="00000000" w:rsidDel="00000000" w:rsidP="00000000" w:rsidRDefault="00000000" w:rsidRPr="00000000" w14:paraId="00000062">
            <w:pPr>
              <w:keepNext w:val="1"/>
              <w:widowControl w:val="1"/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(Cargo o puesto)</w:t>
            </w:r>
          </w:p>
          <w:p w:rsidR="00000000" w:rsidDel="00000000" w:rsidP="00000000" w:rsidRDefault="00000000" w:rsidRPr="00000000" w14:paraId="00000063">
            <w:pPr>
              <w:keepNext w:val="1"/>
              <w:widowControl w:val="1"/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0"/>
                <w:szCs w:val="20"/>
                <w:rtl w:val="0"/>
              </w:rPr>
              <w:t xml:space="preserve">(Nombre y puesto de quien revisa, modifica, opera o es responsable operativo  del procedimiento)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(Nombre)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(Cargo o Puesto)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sz w:val="18"/>
                <w:szCs w:val="18"/>
                <w:rtl w:val="0"/>
              </w:rPr>
              <w:t xml:space="preserve">(Nombre y puesto de quien revisa, modifica, opera o es responsable operativo  del procedimiento)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Validación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 la conformidad a los requisitos de la Norma ISO 9001:2015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Mtra. Mónica Janneth Estada González.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Directora de Aseguramiento de la Calidad 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426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leader="none" w:pos="426"/>
        </w:tabs>
        <w:spacing w:after="0" w:line="240" w:lineRule="auto"/>
        <w:jc w:val="both"/>
        <w:rPr>
          <w:rFonts w:ascii="Amerigo BT" w:cs="Amerigo BT" w:eastAsia="Amerigo BT" w:hAnsi="Amerigo BT"/>
          <w:b w:val="1"/>
          <w:i w:val="1"/>
          <w:sz w:val="16"/>
          <w:szCs w:val="16"/>
        </w:rPr>
      </w:pPr>
      <w:r w:rsidDel="00000000" w:rsidR="00000000" w:rsidRPr="00000000">
        <w:rPr>
          <w:rFonts w:ascii="Amerigo BT" w:cs="Amerigo BT" w:eastAsia="Amerigo BT" w:hAnsi="Amerigo BT"/>
          <w:b w:val="1"/>
          <w:i w:val="1"/>
          <w:sz w:val="16"/>
          <w:szCs w:val="16"/>
          <w:rtl w:val="0"/>
        </w:rPr>
        <w:t xml:space="preserve">Las firmas que anteceden, corresponden a la revisión y aprobación del procedimiento </w:t>
      </w:r>
      <w:r w:rsidDel="00000000" w:rsidR="00000000" w:rsidRPr="00000000">
        <w:rPr>
          <w:rFonts w:ascii="Amerigo BT" w:cs="Amerigo BT" w:eastAsia="Amerigo BT" w:hAnsi="Amerigo BT"/>
          <w:b w:val="1"/>
          <w:i w:val="1"/>
          <w:color w:val="808080"/>
          <w:sz w:val="16"/>
          <w:szCs w:val="16"/>
          <w:rtl w:val="0"/>
        </w:rPr>
        <w:t xml:space="preserve">“Nombre del Procedimiento”</w:t>
      </w:r>
      <w:r w:rsidDel="00000000" w:rsidR="00000000" w:rsidRPr="00000000">
        <w:rPr>
          <w:rFonts w:ascii="Amerigo BT" w:cs="Amerigo BT" w:eastAsia="Amerigo BT" w:hAnsi="Amerigo BT"/>
          <w:b w:val="1"/>
          <w:i w:val="1"/>
          <w:sz w:val="16"/>
          <w:szCs w:val="16"/>
          <w:rtl w:val="0"/>
        </w:rPr>
        <w:t xml:space="preserve"> de la Universidad de Ciencias y Artes de Chiapas, llevada a cabo el </w:t>
      </w:r>
      <w:r w:rsidDel="00000000" w:rsidR="00000000" w:rsidRPr="00000000">
        <w:rPr>
          <w:rFonts w:ascii="Amerigo BT" w:cs="Amerigo BT" w:eastAsia="Amerigo BT" w:hAnsi="Amerigo BT"/>
          <w:b w:val="1"/>
          <w:i w:val="1"/>
          <w:color w:val="808080"/>
          <w:sz w:val="16"/>
          <w:szCs w:val="16"/>
          <w:rtl w:val="0"/>
        </w:rPr>
        <w:t xml:space="preserve">(fecha).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426"/>
        </w:tabs>
        <w:spacing w:after="0" w:line="240" w:lineRule="auto"/>
        <w:jc w:val="both"/>
        <w:rPr>
          <w:rFonts w:ascii="Amerigo BT" w:cs="Amerigo BT" w:eastAsia="Amerigo BT" w:hAnsi="Amerigo BT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833" w:top="2127" w:left="1701" w:right="118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irección Calidad" w:id="2" w:date="2023-02-07T20:54:29Z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los documentos que ayuden a dar soporte normativo al proceso en cuestión, estos pueden ser internos y externos.</w:t>
      </w:r>
    </w:p>
  </w:comment>
  <w:comment w:author="Dirección Calidad" w:id="0" w:date="2023-02-07T20:52:19Z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anotan las áreas involucradas: Por ejemplo Dirección de Aseguramiento de Calidad, Departamento de Gestión de Calidad Institucional, etcétera...</w:t>
      </w:r>
    </w:p>
  </w:comment>
  <w:comment w:author="Dirección Calidad" w:id="3" w:date="2023-02-07T21:03:49Z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este apartado se describen los nombbres de los puestos y las personas responsables de elaborar, revisar y aprobar dicho proceso. Generalmente se compone de Jefe de Departamento y Director.</w:t>
      </w:r>
    </w:p>
  </w:comment>
  <w:comment w:author="Dirección Calidad" w:id="4" w:date="2023-02-07T21:04:56Z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validación es únicamente relacionada a los conceptos que establece la Norma de referencia ISO 9001:2015</w:t>
      </w:r>
    </w:p>
  </w:comment>
  <w:comment w:author="Dirección Calidad" w:id="1" w:date="2023-02-07T20:53:46Z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este apartado se describe el nivel de responsabilidad y autoridad del área en mención, para la ejecución del proceso, por ejemplo: "Validar la convocatoria", "Difundir la convocatoria", "Apruebar a los candidatos", etcétera...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6" w15:done="0"/>
  <w15:commentEx w15:paraId="00000097" w15:done="0"/>
  <w15:commentEx w15:paraId="00000098" w15:done="0"/>
  <w15:commentEx w15:paraId="00000099" w15:done="0"/>
  <w15:commentEx w15:paraId="0000009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meri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merigo BT" w:cs="Amerigo BT" w:eastAsia="Amerigo BT" w:hAnsi="Amerigo BT"/>
        <w:color w:val="000000"/>
        <w:sz w:val="20"/>
        <w:szCs w:val="20"/>
      </w:rPr>
    </w:pPr>
    <w:r w:rsidDel="00000000" w:rsidR="00000000" w:rsidRPr="00000000">
      <w:rPr>
        <w:rFonts w:ascii="Amerigo BT" w:cs="Amerigo BT" w:eastAsia="Amerigo BT" w:hAnsi="Amerigo BT"/>
        <w:color w:val="000000"/>
        <w:rtl w:val="0"/>
      </w:rPr>
      <w:t xml:space="preserve"> </w:t>
    </w:r>
    <w:r w:rsidDel="00000000" w:rsidR="00000000" w:rsidRPr="00000000">
      <w:rPr>
        <w:rFonts w:ascii="Amerigo BT" w:cs="Amerigo BT" w:eastAsia="Amerigo BT" w:hAnsi="Amerigo BT"/>
        <w:color w:val="000000"/>
        <w:sz w:val="20"/>
        <w:szCs w:val="20"/>
        <w:rtl w:val="0"/>
      </w:rPr>
      <w:t xml:space="preserve">Página</w:t>
    </w:r>
    <w:r w:rsidDel="00000000" w:rsidR="00000000" w:rsidRPr="00000000">
      <w:rPr>
        <w:rFonts w:ascii="Amerigo BT" w:cs="Amerigo BT" w:eastAsia="Amerigo BT" w:hAnsi="Amerigo BT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Amerigo BT" w:cs="Amerigo BT" w:eastAsia="Amerigo BT" w:hAnsi="Amerigo BT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merigo BT" w:cs="Amerigo BT" w:eastAsia="Amerigo BT" w:hAnsi="Amerigo BT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merigo BT" w:cs="Amerigo BT" w:eastAsia="Amerigo BT" w:hAnsi="Amerigo BT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-640079</wp:posOffset>
          </wp:positionH>
          <wp:positionV relativeFrom="paragraph">
            <wp:posOffset>-842644</wp:posOffset>
          </wp:positionV>
          <wp:extent cx="7041580" cy="1620000"/>
          <wp:effectExtent b="0" l="0" r="0" t="0"/>
          <wp:wrapNone/>
          <wp:docPr id="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1580" cy="16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-296883</wp:posOffset>
          </wp:positionH>
          <wp:positionV relativeFrom="paragraph">
            <wp:posOffset>-277181</wp:posOffset>
          </wp:positionV>
          <wp:extent cx="723900" cy="678815"/>
          <wp:effectExtent b="0" l="0" r="0" t="0"/>
          <wp:wrapSquare wrapText="bothSides" distB="0" distT="0" distL="0" distR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78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merigo BT" w:cs="Amerigo BT" w:eastAsia="Amerigo BT" w:hAnsi="Amerigo BT"/>
        <w:color w:val="000000"/>
      </w:rPr>
    </w:pPr>
    <w:r w:rsidDel="00000000" w:rsidR="00000000" w:rsidRPr="00000000">
      <w:rPr>
        <w:rFonts w:ascii="Amerigo BT" w:cs="Amerigo BT" w:eastAsia="Amerigo BT" w:hAnsi="Amerigo BT"/>
        <w:color w:val="a6a6a6"/>
        <w:sz w:val="20"/>
        <w:szCs w:val="20"/>
        <w:rtl w:val="0"/>
      </w:rPr>
      <w:t xml:space="preserve">Fecha de aprobación, ejemplo:16 de agosto de 2021, número de revisión, ejemplo:  Revisión 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Style w:val="Heading1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200" w:line="240" w:lineRule="auto"/>
      <w:jc w:val="center"/>
      <w:rPr>
        <w:rFonts w:ascii="Amerigo BT" w:cs="Amerigo BT" w:eastAsia="Amerigo BT" w:hAnsi="Amerigo BT"/>
        <w:smallCaps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-47624</wp:posOffset>
          </wp:positionV>
          <wp:extent cx="7736840" cy="1779905"/>
          <wp:effectExtent b="0" l="0" r="0" t="0"/>
          <wp:wrapNone/>
          <wp:docPr id="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6840" cy="1779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widowControl w:val="1"/>
      <w:numPr>
        <w:ilvl w:val="0"/>
        <w:numId w:val="2"/>
      </w:numPr>
      <w:spacing w:after="0" w:line="240" w:lineRule="auto"/>
      <w:ind w:lef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1"/>
      <w:spacing w:after="0" w:line="240" w:lineRule="auto"/>
      <w:ind w:left="426" w:firstLine="0"/>
      <w:rPr>
        <w:rFonts w:ascii="Amerigo BT" w:cs="Amerigo BT" w:eastAsia="Amerigo BT" w:hAnsi="Amerigo BT"/>
        <w:smallCaps w:val="1"/>
        <w:color w:val="808080"/>
        <w:sz w:val="44"/>
        <w:szCs w:val="44"/>
      </w:rPr>
    </w:pPr>
    <w:r w:rsidDel="00000000" w:rsidR="00000000" w:rsidRPr="00000000">
      <w:rPr>
        <w:rFonts w:ascii="Amerigo BT" w:cs="Amerigo BT" w:eastAsia="Amerigo BT" w:hAnsi="Amerigo BT"/>
        <w:smallCaps w:val="1"/>
        <w:color w:val="808080"/>
        <w:sz w:val="44"/>
        <w:szCs w:val="44"/>
        <w:rtl w:val="0"/>
      </w:rPr>
      <w:t xml:space="preserve">(nombre de la Secretaría, Instituto, Centro)  </w:t>
    </w:r>
  </w:p>
  <w:p w:rsidR="00000000" w:rsidDel="00000000" w:rsidP="00000000" w:rsidRDefault="00000000" w:rsidRPr="00000000" w14:paraId="00000090">
    <w:pPr>
      <w:widowControl w:val="1"/>
      <w:spacing w:after="0" w:line="240" w:lineRule="auto"/>
      <w:ind w:left="426" w:firstLine="0"/>
      <w:rPr>
        <w:rFonts w:ascii="Amerigo BT" w:cs="Amerigo BT" w:eastAsia="Amerigo BT" w:hAnsi="Amerigo BT"/>
        <w:smallCaps w:val="1"/>
        <w:color w:val="808080"/>
        <w:sz w:val="36"/>
        <w:szCs w:val="36"/>
      </w:rPr>
    </w:pPr>
    <w:r w:rsidDel="00000000" w:rsidR="00000000" w:rsidRPr="00000000">
      <w:rPr>
        <w:rFonts w:ascii="Amerigo BT" w:cs="Amerigo BT" w:eastAsia="Amerigo BT" w:hAnsi="Amerigo BT"/>
        <w:smallCaps w:val="1"/>
        <w:color w:val="808080"/>
        <w:sz w:val="36"/>
        <w:szCs w:val="36"/>
        <w:rtl w:val="0"/>
      </w:rPr>
      <w:t xml:space="preserve">(nombre de la Dirección o Facultad)</w:t>
    </w:r>
  </w:p>
  <w:p w:rsidR="00000000" w:rsidDel="00000000" w:rsidP="00000000" w:rsidRDefault="00000000" w:rsidRPr="00000000" w14:paraId="00000091">
    <w:pPr>
      <w:widowControl w:val="1"/>
      <w:spacing w:after="0" w:line="240" w:lineRule="auto"/>
      <w:ind w:left="426" w:firstLine="0"/>
      <w:rPr>
        <w:rFonts w:ascii="Amerigo BT" w:cs="Amerigo BT" w:eastAsia="Amerigo BT" w:hAnsi="Amerigo BT"/>
        <w:smallCaps w:val="1"/>
        <w:color w:val="808080"/>
        <w:sz w:val="28"/>
        <w:szCs w:val="28"/>
      </w:rPr>
    </w:pPr>
    <w:r w:rsidDel="00000000" w:rsidR="00000000" w:rsidRPr="00000000">
      <w:rPr>
        <w:rFonts w:ascii="Amerigo BT" w:cs="Amerigo BT" w:eastAsia="Amerigo BT" w:hAnsi="Amerigo BT"/>
        <w:smallCaps w:val="1"/>
        <w:color w:val="808080"/>
        <w:sz w:val="28"/>
        <w:szCs w:val="28"/>
        <w:rtl w:val="0"/>
      </w:rPr>
      <w:t xml:space="preserve">(Nombre del Departamento responsable)</w:t>
    </w:r>
  </w:p>
  <w:p w:rsidR="00000000" w:rsidDel="00000000" w:rsidP="00000000" w:rsidRDefault="00000000" w:rsidRPr="00000000" w14:paraId="00000092">
    <w:pPr>
      <w:widowControl w:val="1"/>
      <w:spacing w:after="0" w:line="240" w:lineRule="auto"/>
      <w:ind w:left="426" w:firstLine="0"/>
      <w:rPr>
        <w:rFonts w:ascii="Amerigo BT" w:cs="Amerigo BT" w:eastAsia="Amerigo BT" w:hAnsi="Amerigo BT"/>
        <w:b w:val="1"/>
        <w:smallCaps w:val="1"/>
        <w:color w:val="808080"/>
        <w:sz w:val="24"/>
        <w:szCs w:val="24"/>
      </w:rPr>
    </w:pPr>
    <w:r w:rsidDel="00000000" w:rsidR="00000000" w:rsidRPr="00000000">
      <w:rPr>
        <w:rFonts w:ascii="Amerigo BT" w:cs="Amerigo BT" w:eastAsia="Amerigo BT" w:hAnsi="Amerigo BT"/>
        <w:b w:val="1"/>
        <w:smallCaps w:val="1"/>
        <w:color w:val="808080"/>
        <w:sz w:val="24"/>
        <w:szCs w:val="24"/>
        <w:rtl w:val="0"/>
      </w:rPr>
      <w:t xml:space="preserve">(Nombre del proceso)</w:t>
    </w:r>
  </w:p>
  <w:p w:rsidR="00000000" w:rsidDel="00000000" w:rsidP="00000000" w:rsidRDefault="00000000" w:rsidRPr="00000000" w14:paraId="00000093">
    <w:pPr>
      <w:widowControl w:val="1"/>
      <w:spacing w:after="0" w:line="240" w:lineRule="auto"/>
      <w:ind w:left="426" w:firstLine="0"/>
      <w:rPr>
        <w:rFonts w:ascii="Amerigo BT" w:cs="Amerigo BT" w:eastAsia="Amerigo BT" w:hAnsi="Amerigo BT"/>
        <w:b w:val="1"/>
        <w:smallCaps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Amerigo BT" w:cs="Amerigo BT" w:eastAsia="Amerigo BT" w:hAnsi="Amerigo BT"/>
        <w:smallCaps w:val="1"/>
        <w:sz w:val="34"/>
        <w:szCs w:val="3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qFormat w:val="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 w:val="1"/>
    <w:qFormat w:val="1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tul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unhideWhenUsed w:val="1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2" w:customStyle="1">
    <w:name w:val="_Style 12"/>
    <w:basedOn w:val="TableNormal"/>
    <w:qFormat w:val="1"/>
    <w:tblPr>
      <w:tblCellMar>
        <w:left w:w="115.0" w:type="dxa"/>
        <w:right w:w="115.0" w:type="dxa"/>
      </w:tblCellMar>
    </w:tblPr>
  </w:style>
  <w:style w:type="table" w:styleId="Style13" w:customStyle="1">
    <w:name w:val="_Style 13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14" w:customStyle="1">
    <w:name w:val="_Style 14"/>
    <w:basedOn w:val="TableNormal"/>
    <w:qFormat w:val="1"/>
    <w:tblPr>
      <w:tblCellMar>
        <w:top w:w="100.0" w:type="dxa"/>
        <w:left w:w="88.0" w:type="dxa"/>
        <w:bottom w:w="100.0" w:type="dxa"/>
        <w:right w:w="108.0" w:type="dxa"/>
      </w:tblCellMar>
    </w:tblPr>
  </w:style>
  <w:style w:type="table" w:styleId="Style15" w:customStyle="1">
    <w:name w:val="_Style 15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16" w:customStyle="1">
    <w:name w:val="_Style 16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17" w:customStyle="1">
    <w:name w:val="_Style 17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18" w:customStyle="1">
    <w:name w:val="_Style 18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19" w:customStyle="1">
    <w:name w:val="_Style 19"/>
    <w:basedOn w:val="TableNormal"/>
    <w:qFormat w:val="1"/>
    <w:tblPr>
      <w:tblCellMar>
        <w:left w:w="108.0" w:type="dxa"/>
        <w:right w:w="108.0" w:type="dxa"/>
      </w:tblCellMar>
    </w:tblPr>
  </w:style>
  <w:style w:type="table" w:styleId="Style20" w:customStyle="1">
    <w:name w:val="_Style 20"/>
    <w:basedOn w:val="TableNormal"/>
    <w:qFormat w:val="1"/>
    <w:tblPr>
      <w:tblCellMar>
        <w:top w:w="100.0" w:type="dxa"/>
        <w:left w:w="88.0" w:type="dxa"/>
        <w:bottom w:w="100.0" w:type="dxa"/>
        <w:right w:w="108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</w:style>
  <w:style w:type="character" w:styleId="PiedepginaCar" w:customStyle="1">
    <w:name w:val="Pie de página Car"/>
    <w:basedOn w:val="Fuentedeprrafopredeter"/>
    <w:link w:val="Piedepgina"/>
    <w:uiPriority w:val="99"/>
    <w:qFormat w:val="1"/>
  </w:style>
  <w:style w:type="paragraph" w:styleId="Prrafodelista">
    <w:name w:val="List Paragraph"/>
    <w:basedOn w:val="Normal"/>
    <w:uiPriority w:val="99"/>
    <w:qFormat w:val="1"/>
    <w:pPr>
      <w:ind w:left="720"/>
      <w:contextualSpacing w:val="1"/>
    </w:p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/HshWmCGe5KMXkGt0O4eZkjcVg==">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2023-01-27T18:05:00Z</dcterms:created>
  <dc:creator>UNICACH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3E3E9A0047724C65A454BD93672F0502</vt:lpwstr>
  </property>
</Properties>
</file>